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59B90A2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B354A3" w:rsidRPr="00B354A3">
        <w:rPr>
          <w:rFonts w:ascii="Arial" w:hAnsi="Arial" w:cs="Arial"/>
          <w:b/>
          <w:bCs/>
          <w:sz w:val="22"/>
        </w:rPr>
        <w:t>R2-181003</w:t>
      </w:r>
      <w:r w:rsidR="00AC2010">
        <w:rPr>
          <w:rFonts w:ascii="Arial" w:hAnsi="Arial" w:cs="Arial"/>
          <w:b/>
          <w:bCs/>
          <w:sz w:val="22"/>
        </w:rPr>
        <w:t>4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B87E2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9E15EE" w:rsidRPr="009E15EE">
        <w:rPr>
          <w:rFonts w:ascii="Arial" w:hAnsi="Arial" w:cs="Arial"/>
        </w:rPr>
        <w:t xml:space="preserve">LS on BWP </w:t>
      </w:r>
      <w:r w:rsidR="00AC2010">
        <w:rPr>
          <w:rFonts w:ascii="Arial" w:hAnsi="Arial" w:cs="Arial"/>
        </w:rPr>
        <w:t>usage during initial access</w:t>
      </w:r>
    </w:p>
    <w:p w14:paraId="4142800B" w14:textId="288020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C2010">
        <w:rPr>
          <w:rFonts w:ascii="Arial" w:hAnsi="Arial" w:cs="Arial"/>
          <w:bCs/>
        </w:rPr>
        <w:t xml:space="preserve">- 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7605BF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9D73FC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9699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AC2010">
        <w:rPr>
          <w:rFonts w:ascii="Arial" w:hAnsi="Arial" w:cs="Arial"/>
          <w:bCs/>
        </w:rPr>
        <w:t>4</w:t>
      </w:r>
    </w:p>
    <w:p w14:paraId="4EFE95BE" w14:textId="1DB1BF8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C2010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C7477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9779A">
        <w:rPr>
          <w:rFonts w:cs="Arial"/>
          <w:b w:val="0"/>
          <w:bCs/>
        </w:rPr>
        <w:t>Tero Henttonen</w:t>
      </w:r>
    </w:p>
    <w:p w14:paraId="2748A78E" w14:textId="244F2240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F9779A">
        <w:rPr>
          <w:rFonts w:cs="Arial"/>
          <w:b w:val="0"/>
          <w:bCs/>
          <w:lang w:val="en-US"/>
        </w:rPr>
        <w:t>tero</w:t>
      </w:r>
      <w:r w:rsidR="00B9699C">
        <w:rPr>
          <w:rFonts w:cs="Arial"/>
          <w:b w:val="0"/>
          <w:bCs/>
          <w:lang w:val="en-US"/>
        </w:rPr>
        <w:t>.</w:t>
      </w:r>
      <w:r w:rsidR="00F9779A">
        <w:rPr>
          <w:rFonts w:cs="Arial"/>
          <w:b w:val="0"/>
          <w:bCs/>
          <w:lang w:val="en-US"/>
        </w:rPr>
        <w:t>henttonen</w:t>
      </w:r>
      <w:r w:rsidR="00F9779A" w:rsidRPr="005921A6">
        <w:rPr>
          <w:rFonts w:cs="Arial"/>
          <w:b w:val="0"/>
          <w:bCs/>
          <w:lang w:val="en-US"/>
        </w:rPr>
        <w:t xml:space="preserve"> 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4A0BAC58" w:rsidR="00E57BA2" w:rsidRDefault="005D490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AC2010">
        <w:rPr>
          <w:rFonts w:ascii="Arial" w:hAnsi="Arial" w:cs="Arial"/>
          <w:lang w:val="en-US"/>
        </w:rPr>
        <w:t xml:space="preserve">has discussed the details of BWP to be used during initial access, i.e. when UE moves from IDLE or INACTIVE to CONNECTED state. </w:t>
      </w:r>
    </w:p>
    <w:p w14:paraId="1D39A5D5" w14:textId="1A986608" w:rsidR="00AC2010" w:rsidRDefault="00AC201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5D4900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decided that in case gNB indicates something else than the initial BWP as the first active BWP in Msg (i.e. RRCSetup, RRCResume or RRCReestablishment message</w:t>
      </w:r>
      <w:r w:rsidR="005D4900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), the UE shall start using the first active BWP before sending Msg5, i.e. the UE will send the Msg5 using the first active BWP.</w:t>
      </w:r>
    </w:p>
    <w:p w14:paraId="638F0AEF" w14:textId="22C57742" w:rsidR="00AC2010" w:rsidRDefault="00AC201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RAN2 understanding that this may require some BWP switching delay, but it is also RAN2 understanding that this switching delay could be assumed to be contained with the RRC proces</w:t>
      </w:r>
      <w:r w:rsidR="003422CD">
        <w:rPr>
          <w:rFonts w:ascii="Arial" w:hAnsi="Arial" w:cs="Arial"/>
          <w:lang w:val="en-US"/>
        </w:rPr>
        <w:t xml:space="preserve">sing delay for the Msg4. That means that RAN2 assumes that if UE received the Msg4 at time </w:t>
      </w:r>
      <w:r w:rsidR="003422CD" w:rsidRPr="003422CD">
        <w:rPr>
          <w:rFonts w:ascii="Arial" w:hAnsi="Arial" w:cs="Arial"/>
          <w:i/>
          <w:lang w:val="en-US"/>
        </w:rPr>
        <w:t>n</w:t>
      </w:r>
      <w:r w:rsidR="003422CD">
        <w:rPr>
          <w:rFonts w:ascii="Arial" w:hAnsi="Arial" w:cs="Arial"/>
          <w:lang w:val="en-US"/>
        </w:rPr>
        <w:t xml:space="preserve">, UE would be ready to utilize the first active BWP immediately at </w:t>
      </w:r>
      <w:r w:rsidR="003422CD" w:rsidRPr="003422CD">
        <w:rPr>
          <w:rFonts w:ascii="Arial" w:hAnsi="Arial" w:cs="Arial"/>
          <w:i/>
          <w:lang w:val="en-US"/>
        </w:rPr>
        <w:t>n+X</w:t>
      </w:r>
      <w:r w:rsidR="003422CD">
        <w:rPr>
          <w:rFonts w:ascii="Arial" w:hAnsi="Arial" w:cs="Arial"/>
          <w:lang w:val="en-US"/>
        </w:rPr>
        <w:t xml:space="preserve">, where </w:t>
      </w:r>
      <w:r w:rsidR="003422CD" w:rsidRPr="003422CD">
        <w:rPr>
          <w:rFonts w:ascii="Arial" w:hAnsi="Arial" w:cs="Arial"/>
          <w:i/>
          <w:lang w:val="en-US"/>
        </w:rPr>
        <w:t>X</w:t>
      </w:r>
      <w:r w:rsidR="003422CD">
        <w:rPr>
          <w:rFonts w:ascii="Arial" w:hAnsi="Arial" w:cs="Arial"/>
          <w:lang w:val="en-US"/>
        </w:rPr>
        <w:t xml:space="preserve"> is the appropriate RRC processing delay.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2F28D6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C2010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16A383A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AC2010">
        <w:rPr>
          <w:rFonts w:ascii="Arial" w:hAnsi="Arial" w:cs="Arial"/>
        </w:rPr>
        <w:t>RAN4</w:t>
      </w:r>
      <w:r w:rsidR="00B9699C">
        <w:rPr>
          <w:rFonts w:ascii="Arial" w:hAnsi="Arial" w:cs="Arial"/>
        </w:rPr>
        <w:t xml:space="preserve"> to </w:t>
      </w:r>
      <w:r w:rsidR="003422CD">
        <w:rPr>
          <w:rFonts w:ascii="Arial" w:hAnsi="Arial" w:cs="Arial"/>
        </w:rPr>
        <w:t>verify if the RAN2 assumption that the BWP switching delay is part of the RRC processing delay is correct, and provide feedback accordingly.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5D173CBC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3422CD">
        <w:rPr>
          <w:rFonts w:ascii="Arial" w:hAnsi="Arial" w:cs="Arial"/>
          <w:bCs/>
        </w:rPr>
        <w:t>Spokane</w:t>
      </w:r>
      <w:bookmarkStart w:id="0" w:name="_GoBack"/>
      <w:bookmarkEnd w:id="0"/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AC3CB" w14:textId="77777777" w:rsidR="000B2CB3" w:rsidRDefault="000B2CB3">
      <w:r>
        <w:separator/>
      </w:r>
    </w:p>
  </w:endnote>
  <w:endnote w:type="continuationSeparator" w:id="0">
    <w:p w14:paraId="475C4970" w14:textId="77777777" w:rsidR="000B2CB3" w:rsidRDefault="000B2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DBC84" w14:textId="77777777" w:rsidR="000B2CB3" w:rsidRDefault="000B2CB3">
      <w:r>
        <w:separator/>
      </w:r>
    </w:p>
  </w:footnote>
  <w:footnote w:type="continuationSeparator" w:id="0">
    <w:p w14:paraId="5B5BB6B1" w14:textId="77777777" w:rsidR="000B2CB3" w:rsidRDefault="000B2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B2CB3"/>
    <w:rsid w:val="000D113A"/>
    <w:rsid w:val="000F12FD"/>
    <w:rsid w:val="001063EA"/>
    <w:rsid w:val="001576BB"/>
    <w:rsid w:val="00177DA3"/>
    <w:rsid w:val="001B008D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422CD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868A4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7689"/>
    <w:rsid w:val="005D1733"/>
    <w:rsid w:val="005D4900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6E3A"/>
    <w:rsid w:val="0084501F"/>
    <w:rsid w:val="00845F63"/>
    <w:rsid w:val="0084604E"/>
    <w:rsid w:val="008612CD"/>
    <w:rsid w:val="00865184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CDB"/>
    <w:rsid w:val="0096221E"/>
    <w:rsid w:val="009778A3"/>
    <w:rsid w:val="00984727"/>
    <w:rsid w:val="009B2EB9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C2010"/>
    <w:rsid w:val="00AE5661"/>
    <w:rsid w:val="00AF3FA4"/>
    <w:rsid w:val="00B255A7"/>
    <w:rsid w:val="00B33A9B"/>
    <w:rsid w:val="00B354A3"/>
    <w:rsid w:val="00B544D2"/>
    <w:rsid w:val="00B5648B"/>
    <w:rsid w:val="00B66CC7"/>
    <w:rsid w:val="00B70E77"/>
    <w:rsid w:val="00B9699C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543D1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44995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41FBC"/>
    <w:rsid w:val="00F44F0C"/>
    <w:rsid w:val="00F54C66"/>
    <w:rsid w:val="00F9779A"/>
    <w:rsid w:val="00FD3596"/>
    <w:rsid w:val="00FE7C70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(Tero)</cp:lastModifiedBy>
  <cp:revision>3</cp:revision>
  <cp:lastPrinted>2002-04-23T00:10:00Z</cp:lastPrinted>
  <dcterms:created xsi:type="dcterms:W3CDTF">2018-06-21T17:31:00Z</dcterms:created>
  <dcterms:modified xsi:type="dcterms:W3CDTF">2018-06-21T17:37:00Z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